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 vom 20. Dezember 2023</w:t>
      </w:r>
    </w:p>
    <w:p>
      <w:r>
        <w:t>VS Kantonsgericht, 2023-12-20, FR</w:t>
      </w:r>
    </w:p>
    <w:p>
      <w:r>
        <w:rPr>
          <w:b/>
        </w:rPr>
        <w:t xml:space="preserve">Quelle: </w:t>
      </w:r>
      <w:r>
        <w:t>https://mcp.opencaselaw.ch/entscheid/vs_gerichte_S1 22 1</w:t>
      </w:r>
    </w:p>
    <w:p>
      <w:r>
        <w:t>FR: VS_GERICHTE S1 22 1 du 20 décembre 2023</w:t>
      </w:r>
    </w:p>
    <w:p>
      <w:r>
        <w:t>IT: VS_GERICHTE S1 22 1 del 20 dicembre 2023</w:t>
      </w:r>
    </w:p>
    <w:p>
      <w:pPr>
        <w:pStyle w:val="Heading2"/>
      </w:pPr>
      <w:r>
        <w:t>Regeste</w:t>
      </w:r>
    </w:p>
    <w:p>
      <w:r>
        <w:t>S1 22 1 ARRÊT DU 20 DÉCEMBRE 2023 Tribunal cantonal du Valais Cour des assurances sociales Composition : Candido Prada, président ; Jean-Bernard Fournier et Christophe Joris, juges ; Simon Hausammann, greffier en la cause X _________, recourant, représenté par Maître Laure Panchard, avocate, 1920 Martigny 1 contre OFFICE CANTONAL AI DU VALAIS, 1950 Sion, intimé (art. 17 LPGA, 43 et 44 aLPGA ; révision, valeur probante d’une expertise psychiatrique)</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30 décembre 2021, le présent recours à l'encontre de la décision du 17 novembre précédent a été interjeté dans le délai légal de trente jours compte tenu des féries de fin d’année (art. 38 al. 4 et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w:t>
      </w:r>
    </w:p>
    <w:p>
      <w:r>
        <w:rPr>
          <w:b/>
        </w:rPr>
        <w:t>E. 2</w:t>
      </w:r>
    </w:p>
    <w:p>
      <w:r>
        <w:t>Le litige porte sur le droit du recourant à des prestations AI, dans le cadre d’une procédure de révision. Plus particulièrement, il remet en cause la valeur probante de l’expertise psychiatrique sur laquelle l’OAI s’est fondé pour lui réduire sa rente d’invalidité.</w:t>
      </w:r>
    </w:p>
    <w:p>
      <w:r>
        <w:rPr>
          <w:b/>
        </w:rPr>
        <w:t>E. 2.1</w:t>
      </w:r>
    </w:p>
    <w:p>
      <w:r>
        <w:t>A teneur de l'article 17 LPGA (dans sa teneur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w:t>
      </w:r>
    </w:p>
    <w:p>
      <w:r>
        <w:t>- 10 -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V368 consid. 2 et la référence). C'est la dernière décision entrée en force qui repose sur un examen matériel complet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2.2</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2.3</w:t>
      </w:r>
    </w:p>
    <w:p>
      <w:r>
        <w:t>Pour fixer le degré d’invalidité, l’administration - en cas de recours, le juge - se fonde sur des documents médicaux, ainsi que, le cas échéant, sur des documents émanant</w:t>
      </w:r>
    </w:p>
    <w:p>
      <w:r>
        <w:t>- 11 -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 rapport du SMR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Le Tribunal fédéral n'exclut cependant pas que l'assurance- 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w:t>
      </w:r>
    </w:p>
    <w:p>
      <w:r>
        <w:t>- 12 - des principes développés par la jurisprudence (arrêts du Tribunal fédéral 9C_711/2010 du 18 mai 2011 consid. 4.3, 9C_766/2009 du 12 mars 2010 consid. 2.2, 8C_4/2010 du 29 novembre 2010 consid. 4.1 et les références ; arrêts du Tribunal administratif fédéral C-3486/2014 du 17 mai 2017 consid. 8.2 et C-6371/2011 du 21 août 2013).</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w:t>
      </w:r>
    </w:p>
    <w:p>
      <w:r>
        <w:t>- 13 - dépend de la question de savoir si celle qui se trouve déjà au dossier remplit les exigences de forme et de fond posées pour la valeur probante d’une expertise médicale (arrêt du Tribunal fédéral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est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2.5</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w:t>
      </w:r>
    </w:p>
    <w:p>
      <w:r>
        <w:t>- 14 - 418),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3</w:t>
      </w:r>
    </w:p>
    <w:p>
      <w:r>
        <w:t>Dans le cas d’espèce, il convient d’examiner si l’OAI pouvait légalement diminuer la rente d’invalidité du recourant, au motif qu’il avait récupéré une capacité de travail de 50% dans une activité adaptée. L’intéressé remet uniquement en cause cette capacité de travail, sans contester la détermination du taux d’invalidité. Singulièrement, il soutient que les avis des Drs C _________ et E _________ remettaient en cause la valeur probante de l’expertise du Dr D _________ et auraient ainsi dû conduire l’OAI à mettre en œuvre une mesure d’instruction complémentaire.</w:t>
      </w:r>
    </w:p>
    <w:p>
      <w:r>
        <w:rPr>
          <w:b/>
        </w:rPr>
        <w:t>E. 3.1</w:t>
      </w:r>
    </w:p>
    <w:p>
      <w:r>
        <w:t>Dans son expertise du 14 décembre 2020, le Dr D _________ a retenu que le recourant avait souffert d’un trouble dépressif récurrent avec un épisode moyen sans syndrome somatique depuis janvier 2019, dans un contexte de traits de la personnalité émotionnellement labile et dépendante et d’une entité apparentée à un trouble douloureux somatoforme persistant. Ces troubles provoquaient auprès de l’intéressé un ralentissement psychomoteur modéré (verbal, moteur et idéique), des troubles modérés de la concentration, une fatigue, une tristesse modérée, une faible estime de soi et un isolement social partiel (p. 55 de l’expertise ; pièce OAI 194). Au vu de la gravité partielle de ces affections, l’expert a estimé que la capacité de travail était limitée à 50%, dès lors que l’intéressé avait néanmoins conservé certaines ressources et parvenait à gérer son quotidien, faire les courses, le ménage, la cuisine, à conduire une voiture, à partir en vacances, à regarder la télévision, à écouter de la musique, à rencontrer une compagne,</w:t>
      </w:r>
    </w:p>
    <w:p>
      <w:r>
        <w:t>- 15 - à se promener et à avoir des contacts sociaux avec sa copine et quelques amis (p. 58 de l’expertise). Cette expertise repose sur l’ensemble du dossier, tient compte de l’anamnèse du recourant et de ses plaintes, et se base sur des constatations objectives faites par un spécialiste FMH en psychiatrie assisté d’une psychologue FSP. L’expert a en outre examiné à deux reprises l’intéressé pour une durée totale de 6 heures (p. 2 de l’expertise), ce qui était amplement suffisant pour qu’il se fasse une idée claire sur l’état de santé du recourant dans un délai relativement bref en conformité avec la jurisprudence (arrêt du Tribunal fédéral 9C_352/2017 du 9 octobre 2017 consid. 5.1 avec les références). Durant ces entretiens, le recourant a eu l’occasion de s’exprimer longuement sur sa situation personnelle, ses troubles et leurs répercussions sur sa vie quotidienne. L’expert a retranscrit les déclarations du recourant dans le chapitre 3 « entretien » de l’expertise sans y ajouter ses propres observations. Il n’est pas vraisemblable de soutenir que le Dr D _________ aurait rapporté des informations fausses ou qu’il aurait inventé, romancé ou encore interprété les propos du recourant comme le prétend le Dr C _________, ce d’autant plus que ces déclarations sont usuellement confirmées après relecture par la personne expertisée. L’expert a ensuite examiné la gravité des troubles du recourant à l’aune des indicateurs jurisprudentiels et a conclu, d’une manière circonstanciée, qu’une capacité de travail de 50% avait été retrouvée (pp. 48 à 50 de l’expertise). On ne discerne par conséquent aucun élément essentiel qui aurait été ignoré par l’expert et son rapport ne contient pas de contradictions manifestes susceptibles de remettre en doute sa valeur probante. Le SMR a d’ailleurs relevé la concordance entre les symptômes observés par l’expert et les examens complémentaires réalisés (cf. rapport final du 9 juillet 2021 ; pièce OAI 220).</w:t>
      </w:r>
    </w:p>
    <w:p>
      <w:r>
        <w:rPr>
          <w:b/>
        </w:rPr>
        <w:t>E. 3.2</w:t>
      </w:r>
    </w:p>
    <w:p>
      <w:r>
        <w:t>Les critiques émises, le 6 mai 2021, par le Dr C _________ ne sont pas convaincantes (pièce OAI 216). Ce médecin traitant, non spécialiste en psychiatrie, ne fait en effet valoir aucun élément objectivement vérifiable qui permettrait de justifier l’état anxieux et dépressif sévère qu’il diagnostique. Il se limite ainsi à faire valoir son opinion divergente quant à l’importance des atteintes de son patient et leurs répercussions sur sa capacité de travail résiduelle. Le tableau sombre qu’il dépeint n’est en outre pas corroboré par la fréquence de ses consultations avec le recourant (à hauteur de tous les trois mois ; p. 29 de l’expertise) et il ne parvient pas à justifier pour quelle raison aucun spécialiste en psychiatrie ne le suivait depuis janvier 2019. Le fait que l’intéressé n’a pas estimé nécessaire de consulter un spécialiste pour ses troubles psychiques au-delà de sa consultation du 20 décembre</w:t>
      </w:r>
    </w:p>
    <w:p>
      <w:r>
        <w:t>- 16 - 2018 avec la Dresse A _________ (pièce OAI 182) et que l’OAI ait dû le menacer d’une sanction pour qu’il reprenne un tel suivi en mars 2021 (pièce OAI 196) est un indice révélateur supplémentaire quant à l’absence de gravité de son état psychique (un défaut de coopération optimale devant conduire à nier le caractère invalidant d’un trouble psychique ; ATF 141 V 281 consid. 4.3.1.2 et arrêt du Tribunal fédéral 9C_618/2019 du 16 mars 2020 consid. 8.2.1.3). Par ailleurs, il est également peu compréhensible que le médecin traitant du recourant n’ait pas jugé utile de le rediriger vers un psychiatre, s’il estimait réellement que son patient était « profondément dépressif », qu’il « sombr[ait] totalement, [n’avait] aucune ressource [et] aucun espoir de vie meilleure ». Le fait qu’il a limité la thérapie à la prise de médicament (Temesta®) démontre dès lors l’efficacité de celle-ci, ce qui est également un critère parlant en faveur d’un trouble non incapacitant (ATF 141 V 281 consid. 4.3.1.2 et arrêt du Tribunal fédéral 9C_618/2019 du 16 mars 2020 consid. 8.2.1.3). Concernant l’isolement social du recourant, l’expert l’a qualifié à juste titre de partiel, dans la mesure où l’intéressé voyait régulièrement un couple d’amis et entretenait des contacts fréquents avec sa famille. Sur ce point, le Dr C _________, sans contester l’existence de relations sociales, souligne de manière répétée que son patient souffrait de solitude, que toute sa famille se trouvait au Portugal, et qu’il devait régulièrement se rendre auprès d’amis lorsqu’il se sentait trop angoissé à l’idée de rester seul toute la nuit. Il explique en outre que son patient ne recherchait pas de bénéfice secondaire par la perception d’une rente et qu’il souhaitait rester en Suisse uniquement afin de bénéficier d’un meilleur suivi médical que dans son pays d’origine. Cette affirmation contraste cependant avec l’absence de volonté affichée par l’intéressé de se soumettre à un traitement spécialisé.</w:t>
      </w:r>
    </w:p>
    <w:p>
      <w:r>
        <w:rPr>
          <w:b/>
        </w:rPr>
        <w:t>E. 3.3</w:t>
      </w:r>
    </w:p>
    <w:p>
      <w:r>
        <w:t>Pour sa part, le Dr E _________ du CCPP a admis une capacité de travail résiduelle de 50% dans une activité adaptée, en précisant qu’un essai devait être effectué dans un milieu protégé afin de tenir compte du déconditionnement du recourant et de son employabilité dans différents environnements de travail (cf. rapport du 28 juin 2021 ; pièce OAI 215). Avec le SMR, on relève que les symptômes et les diagnostics décrits par le CCPP se confondent largement avec les constatations de l’expert. Le Dr E _________ admet du reste également qu’une capacité de travail partielle avait été récupérée par son patient, confirmant dès lors l’appréciation du Dr D _________. Le déconditionnement dont fait</w:t>
      </w:r>
    </w:p>
    <w:p>
      <w:r>
        <w:t>- 17 - état le CCPP n’a au demeurant pas été ignoré par l’expert qui l’a inclus dans son analyse et a retenu que malgré les limitations fonctionnelles que présentait le recourant, les ressources qui avaient été conservées lui permettaient de réaliser toute sorte d’activités durant la journée (p. 35). On rappellera de surcroît qu’un déconditionnement issue d’un mode de vie sédentaire et inactif ou lié à une longue interruption de l’activité professionnelle ne suffisent pas en tant que tels pour admettre une diminution durable de la capacité de travail dans toute activité (arrêts du Tribunal fédéral I 524/04 du 28 juin 2005 consid. 5 et I 597/03 du 22 mars 2004 consid. 4.1, repris plus récemment à l’arrêt 9C_809/2017 du 27 mars 2018 consid. 5.2). Le Dr E _________ n’indique du reste pas que le déconditionnement de son patient résulterait d’une atteinte à la santé. Cela étant, l’avis du CCPP ne vient pas remettre en doute les observations de l’expert ni ne mentionne des éléments importants qui auraient été ignorés par ce dernier, de sorte que l’état de fait était suffisamment établi au degré de la vraisemblance prépondérante pour la solution du litige sans que l’intimé ne doive mettre en œuvre une autre mesure d’instruction (appréciation anticipée des moyens de preuves : ATF 145 I 167 consid. 4.1, 144 II 427 consid. 3.1.3 et 141 I 60 consid. 3.3).</w:t>
      </w:r>
    </w:p>
    <w:p>
      <w:r>
        <w:rPr>
          <w:b/>
        </w:rPr>
        <w:t>E. 3.4</w:t>
      </w:r>
    </w:p>
    <w:p>
      <w:r>
        <w:t>Au vu des éléments qui précèdent, c’est à juste titre que l’OAI a considéré que l’état de santé du recourant s’était amélioré d’une façon notable depuis la décision du 21 janvier 2019, justifiant un nouvel examen de son droit à des prestations AI. L’intimée a dès lors procédé à un nouveau calcul de la perte de gain du recourant sur la base d’une capacité de travail de 50%. Le taux d’invalidité arrêté à 60% n’a fait l’objet d’aucune contestation et doit dès lors être purement et simplement confirmé. Dans ces circonstances, la décision du 17 novembre 2021 est confirmée et le recours du 30 décembre 2021 rejeté.</w:t>
      </w:r>
    </w:p>
    <w:p>
      <w:r>
        <w:rPr>
          <w:b/>
        </w:rPr>
        <w:t>E. 4.1</w:t>
      </w:r>
    </w:p>
    <w:p>
      <w:r>
        <w:t>La procédure de recours en matière de contestations portant sur l’octroi ou le refus de prestations de l'assurance-invalidité devant le tribunal cantonal des assurances est soumise à des frais judiciaires (art. 61 let. fbis LPGA et art. 69 al. 1bis LAI). Eu égard à l’issue de la cause, les frais de justice arrêtés à 500 fr., sur le vu notamment des principes de la couverture des frais et de l’équivalence des prestations, sont mis à la charge du recourant qui succombe. Cette somme est compensée par l’avance de frais d’un montant équivalent déjà consentie.</w:t>
      </w:r>
    </w:p>
    <w:p>
      <w:r>
        <w:t>- 18 -</w:t>
      </w:r>
    </w:p>
    <w:p>
      <w:r>
        <w:rPr>
          <w:b/>
        </w:rPr>
        <w:t>E. 4.2</w:t>
      </w:r>
    </w:p>
    <w:p>
      <w:r>
        <w:t>Vu l’issue de la cause, il n’est pas alloué de dépens au recourant (art. 61 let. g LPGA a contrario), ni à l’intimé, lequel agit comme autorité chargée de tâches de droit public (art. 91 al. 3 LPGA ; ATF 126 V 143 consid. 4).</w:t>
      </w:r>
    </w:p>
    <w:p>
      <w:r>
        <w:t>Prononce</w:t>
      </w:r>
    </w:p>
    <w:p>
      <w:r>
        <w:t>1. Le recours est rejeté. 2. Les frais, par 500 francs, sont mis à la charge de X _________. 3. Il n’est pas alloué de dépens.</w:t>
      </w:r>
    </w:p>
    <w:p>
      <w:r>
        <w:t>Sion, le 20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